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7D" w:rsidRPr="005728B8" w:rsidRDefault="00B0267D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kern w:val="3"/>
          <w:sz w:val="20"/>
          <w:szCs w:val="20"/>
        </w:rPr>
      </w:pPr>
      <w:r w:rsidRPr="005728B8">
        <w:rPr>
          <w:rFonts w:ascii="Verdana" w:eastAsia="SimSun" w:hAnsi="Verdana" w:cs="Calibri"/>
          <w:kern w:val="3"/>
          <w:sz w:val="20"/>
          <w:szCs w:val="20"/>
        </w:rPr>
        <w:t>Załącznik Nr 5</w:t>
      </w:r>
    </w:p>
    <w:p w:rsidR="00B0267D" w:rsidRPr="005728B8" w:rsidRDefault="00B0267D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728B8">
        <w:rPr>
          <w:rFonts w:ascii="Verdana" w:eastAsia="SimSun" w:hAnsi="Verdana" w:cs="Calibri"/>
          <w:kern w:val="3"/>
          <w:sz w:val="20"/>
          <w:szCs w:val="20"/>
        </w:rPr>
        <w:t xml:space="preserve">                                                                                    </w:t>
      </w:r>
      <w:r>
        <w:rPr>
          <w:rFonts w:ascii="Verdana" w:eastAsia="SimSun" w:hAnsi="Verdana" w:cs="Calibri"/>
          <w:kern w:val="3"/>
          <w:sz w:val="20"/>
          <w:szCs w:val="20"/>
        </w:rPr>
        <w:t xml:space="preserve">  </w:t>
      </w:r>
      <w:r w:rsidRPr="005728B8">
        <w:rPr>
          <w:rFonts w:ascii="Verdana" w:eastAsia="SimSun" w:hAnsi="Verdana" w:cs="Calibri"/>
          <w:kern w:val="3"/>
          <w:sz w:val="20"/>
          <w:szCs w:val="20"/>
        </w:rPr>
        <w:t xml:space="preserve">do </w:t>
      </w:r>
      <w:r w:rsidRPr="005728B8">
        <w:rPr>
          <w:rFonts w:ascii="Verdana" w:hAnsi="Verdana"/>
          <w:sz w:val="20"/>
          <w:szCs w:val="20"/>
        </w:rPr>
        <w:t xml:space="preserve">ZARZĄDZENIA Nr 21/2019 </w:t>
      </w:r>
    </w:p>
    <w:p w:rsidR="00B0267D" w:rsidRPr="005728B8" w:rsidRDefault="00B0267D" w:rsidP="008E7503">
      <w:pPr>
        <w:spacing w:after="0" w:line="240" w:lineRule="auto"/>
        <w:ind w:left="567"/>
        <w:rPr>
          <w:rFonts w:ascii="Verdana" w:hAnsi="Verdana"/>
          <w:sz w:val="20"/>
          <w:szCs w:val="20"/>
        </w:rPr>
      </w:pPr>
    </w:p>
    <w:p w:rsidR="00B0267D" w:rsidRPr="005728B8" w:rsidRDefault="00B0267D" w:rsidP="008E7503">
      <w:pPr>
        <w:rPr>
          <w:rFonts w:ascii="Verdana" w:hAnsi="Verdana"/>
          <w:bCs/>
          <w:sz w:val="20"/>
          <w:szCs w:val="20"/>
        </w:rPr>
      </w:pPr>
      <w:r w:rsidRPr="005728B8">
        <w:rPr>
          <w:rFonts w:ascii="Verdana" w:hAnsi="Verdana"/>
          <w:bCs/>
          <w:sz w:val="20"/>
          <w:szCs w:val="20"/>
        </w:rPr>
        <w:t>SYLABUS PRZEDMIOTU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5728B8">
        <w:rPr>
          <w:rFonts w:ascii="Verdana" w:hAnsi="Verdana" w:cs="Courier New"/>
          <w:sz w:val="20"/>
          <w:szCs w:val="20"/>
          <w:lang w:eastAsia="pl-PL"/>
        </w:rPr>
        <w:t>SKAMIENIAŁOŚCI JAKO WSKAŹNIK PALEOŚRODOWISKA</w:t>
      </w:r>
      <w:r w:rsidRPr="005728B8">
        <w:rPr>
          <w:rFonts w:ascii="Verdana" w:hAnsi="Verdana"/>
          <w:bCs/>
          <w:sz w:val="20"/>
          <w:szCs w:val="20"/>
        </w:rPr>
        <w:t xml:space="preserve"> NA STUDIACH WYŻSZYCH</w:t>
      </w:r>
    </w:p>
    <w:p w:rsidR="00B0267D" w:rsidRPr="005728B8" w:rsidRDefault="00B0267D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 w:cs="Courier New"/>
                <w:sz w:val="20"/>
                <w:szCs w:val="20"/>
                <w:lang w:eastAsia="pl-PL"/>
              </w:rPr>
              <w:t xml:space="preserve">Skamieniałości jako wskaźnik </w:t>
            </w:r>
            <w:proofErr w:type="spellStart"/>
            <w:r w:rsidRPr="005728B8">
              <w:rPr>
                <w:rFonts w:ascii="Verdana" w:hAnsi="Verdana" w:cs="Courier New"/>
                <w:sz w:val="20"/>
                <w:szCs w:val="20"/>
                <w:lang w:eastAsia="pl-PL"/>
              </w:rPr>
              <w:t>paleośrodowiska</w:t>
            </w:r>
            <w:proofErr w:type="spellEnd"/>
            <w:r w:rsidRPr="005728B8">
              <w:rPr>
                <w:rFonts w:ascii="Verdana" w:hAnsi="Verdana" w:cs="Courier New"/>
                <w:sz w:val="20"/>
                <w:szCs w:val="20"/>
                <w:lang w:eastAsia="pl-PL"/>
              </w:rPr>
              <w:t>/</w:t>
            </w:r>
            <w:r w:rsidRPr="005728B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Fossils</w:t>
            </w:r>
            <w:proofErr w:type="spellEnd"/>
            <w:r w:rsidRPr="005728B8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 xml:space="preserve">as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an</w:t>
            </w:r>
            <w:proofErr w:type="spellEnd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indicator</w:t>
            </w:r>
            <w:proofErr w:type="spellEnd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 xml:space="preserve"> of</w:t>
            </w:r>
            <w:r w:rsidRPr="005728B8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paleoenvironments</w:t>
            </w:r>
            <w:proofErr w:type="spellEnd"/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B0267D" w:rsidRPr="005728B8" w:rsidTr="00FD56D2">
        <w:trPr>
          <w:trHeight w:val="49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WNZKS, Instytut Nauk Geologicznych, Zakład Geologii stratygraficznej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5728B8">
              <w:rPr>
                <w:rFonts w:ascii="Verdana" w:hAnsi="Verdana"/>
                <w:sz w:val="20"/>
                <w:szCs w:val="20"/>
              </w:rPr>
              <w:t>)</w:t>
            </w:r>
          </w:p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Zimowy lub letni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B0267D" w:rsidRPr="005728B8" w:rsidRDefault="00B0267D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Wykład: 14</w:t>
            </w:r>
          </w:p>
          <w:p w:rsidR="00B0267D" w:rsidRPr="005728B8" w:rsidRDefault="00B0267D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Ćwiczenia laboratoryjne: 18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Wykład multimedialny,</w:t>
            </w:r>
            <w:r w:rsidRPr="004165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6E2C">
              <w:rPr>
                <w:rFonts w:ascii="Verdana" w:hAnsi="Verdana"/>
                <w:sz w:val="20"/>
                <w:szCs w:val="20"/>
              </w:rPr>
              <w:t xml:space="preserve">prezentacja, </w:t>
            </w:r>
            <w:r w:rsidRPr="004165AA">
              <w:rPr>
                <w:rFonts w:ascii="Verdana" w:hAnsi="Verdana"/>
                <w:sz w:val="20"/>
                <w:szCs w:val="20"/>
              </w:rPr>
              <w:t>dyskusja,</w:t>
            </w:r>
            <w:r w:rsidRPr="005728B8">
              <w:rPr>
                <w:rFonts w:ascii="Verdana" w:hAnsi="Verdana"/>
                <w:sz w:val="20"/>
                <w:szCs w:val="20"/>
              </w:rPr>
              <w:t xml:space="preserve"> ćwiczenia praktyczne, wykonywanie zadań samodzielnie, wykonywanie zadań w grupie</w:t>
            </w:r>
            <w:r w:rsidR="00D86E2C">
              <w:rPr>
                <w:rFonts w:ascii="Verdana" w:hAnsi="Verdana"/>
                <w:sz w:val="20"/>
                <w:szCs w:val="20"/>
              </w:rPr>
              <w:t>.</w:t>
            </w:r>
            <w:r w:rsidRPr="005728B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B0267D" w:rsidRPr="005728B8" w:rsidRDefault="00B0267D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Koordynator: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</w:p>
          <w:p w:rsidR="00B0267D" w:rsidRPr="005728B8" w:rsidRDefault="00B0267D" w:rsidP="00945B51">
            <w:pPr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Wykładowca: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, dr Alina Chrząstek, dr Jolanta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>, dr Robert Niedźwiedzki</w:t>
            </w:r>
            <w:r w:rsidR="00D86E2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D86E2C" w:rsidRPr="005728B8">
              <w:rPr>
                <w:rFonts w:ascii="Verdana" w:hAnsi="Verdana"/>
                <w:bCs/>
                <w:sz w:val="20"/>
                <w:szCs w:val="20"/>
              </w:rPr>
              <w:t xml:space="preserve"> dr Paweł Raczyński</w:t>
            </w:r>
            <w:r w:rsidR="00D86E2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Prowadzący ćwiczenia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: dr hab. Anna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, dr Alina Chrząstek, dr Jolanta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>, dr Robert Niedźwiedzki</w:t>
            </w:r>
            <w:r w:rsidR="00D86E2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D86E2C" w:rsidRPr="005728B8">
              <w:rPr>
                <w:rFonts w:ascii="Verdana" w:hAnsi="Verdana"/>
                <w:bCs/>
                <w:sz w:val="20"/>
                <w:szCs w:val="20"/>
              </w:rPr>
              <w:t xml:space="preserve"> dr Paweł Raczyński</w:t>
            </w:r>
            <w:r w:rsidR="00D86E2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 </w:t>
            </w:r>
          </w:p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lastRenderedPageBreak/>
              <w:t>Wiedza i umiejętności z zakresu geologii historycznej, sedymentologii i paleontologii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Zajęcia stanowią kolejny etap dotychczasowego kształcenia i podsumowanie wiedzy o skamieniałościach i ich wykorzystaniu w geologii.</w:t>
            </w: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Wykłady mają na celu zaznajomienie studentów ze środowiskową charakterystyką różnych grup organizmów i ich zmiennością w czasie geologicznym. Organizmy dostarczające skamieniałości charakteryzowane są pod względem wymagań środowiskowych.</w:t>
            </w:r>
          </w:p>
          <w:p w:rsidR="00B0267D" w:rsidRPr="005728B8" w:rsidRDefault="00B0267D" w:rsidP="00D86E2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Ćwiczenia mają na celu praktyczne rozpoznawanie środowisk sedymentacyjnych w oparciu o skamieniałości znajdowane w skałach.</w:t>
            </w:r>
          </w:p>
        </w:tc>
      </w:tr>
      <w:tr w:rsidR="00B0267D" w:rsidRPr="005728B8" w:rsidTr="00FD56D2">
        <w:trPr>
          <w:trHeight w:val="72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B0267D" w:rsidRPr="005728B8" w:rsidRDefault="00B0267D" w:rsidP="00D86E2C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B0267D" w:rsidRPr="005728B8" w:rsidRDefault="00D86E2C" w:rsidP="00D86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P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rzekazanie aktualnego stanu wiedzy nt. zależności pomiędzy zespołami organizmów a warunkami powstawania osadów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C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harakterystyka grup organizmów pod względem przystosowań i wymagań środowiskowych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O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pis facji charakteryzowanych przez różne grupy organizmów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 W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ykazanie powi</w:t>
            </w:r>
            <w:r w:rsidR="00B0267D" w:rsidRPr="005728B8">
              <w:rPr>
                <w:rFonts w:ascii="Verdana" w:hAnsi="Verdana" w:cs="TimesNewRoman"/>
                <w:sz w:val="20"/>
                <w:szCs w:val="20"/>
                <w:lang w:eastAsia="pl-PL"/>
              </w:rPr>
              <w:t>ą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za</w:t>
            </w:r>
            <w:r w:rsidR="00B0267D" w:rsidRPr="005728B8">
              <w:rPr>
                <w:rFonts w:ascii="Verdana" w:hAnsi="Verdana" w:cs="TimesNewRoman"/>
                <w:sz w:val="20"/>
                <w:szCs w:val="20"/>
                <w:lang w:eastAsia="pl-PL"/>
              </w:rPr>
              <w:t>ń po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mi</w:t>
            </w:r>
            <w:r w:rsidR="00B0267D" w:rsidRPr="005728B8">
              <w:rPr>
                <w:rFonts w:ascii="Verdana" w:hAnsi="Verdana" w:cs="TimesNewRoman"/>
                <w:sz w:val="20"/>
                <w:szCs w:val="20"/>
                <w:lang w:eastAsia="pl-PL"/>
              </w:rPr>
              <w:t>ę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dzy wnioskami z analizy współczesnych zespołów organizmów a badaniami skamieniałości w osadach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skaźnikowe zespoły skamieniałości użyteczne dla interpretacji środowiskowych i ich zmiany w czasie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pływ procesów fosylizacyjnych na możliwości interpretacji środowisk w oparciu o zespoły skamieniałości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P</w:t>
            </w:r>
            <w:r w:rsidR="00B0267D" w:rsidRPr="005728B8">
              <w:rPr>
                <w:rFonts w:ascii="Verdana" w:hAnsi="Verdana"/>
                <w:sz w:val="20"/>
                <w:szCs w:val="20"/>
                <w:lang w:eastAsia="pl-PL"/>
              </w:rPr>
              <w:t>rzykłady praktycznych zastosowań w określaniu warunków środowiska.</w:t>
            </w:r>
          </w:p>
          <w:p w:rsidR="00B0267D" w:rsidRPr="005728B8" w:rsidRDefault="00B0267D" w:rsidP="00D86E2C">
            <w:pPr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Ćwiczenia laboratoryjne:</w:t>
            </w:r>
          </w:p>
          <w:p w:rsidR="00B0267D" w:rsidRPr="005728B8" w:rsidRDefault="00B0267D" w:rsidP="00D86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Rozpoznawanie skamieniałości auto- i allochtonicznych. Analiza próbek pod względem interpretacji środowiskowych w oparciu o skamieniałości. Analiza zmian środowiskowych w profilach.</w:t>
            </w:r>
            <w:r w:rsidR="00D86E2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8B8">
              <w:rPr>
                <w:rFonts w:ascii="Verdana" w:hAnsi="Verdana"/>
                <w:sz w:val="20"/>
                <w:szCs w:val="20"/>
              </w:rPr>
              <w:t>Konwersatorium: prezentacja wybranego przykładu interpretacji środowiskowych opartych na badaniach skamieniałości w oparciu o artykuły naukowe lub rozdziały monografii.</w:t>
            </w:r>
          </w:p>
        </w:tc>
      </w:tr>
      <w:tr w:rsidR="00B0267D" w:rsidRPr="005728B8" w:rsidTr="00FD56D2">
        <w:trPr>
          <w:trHeight w:val="48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B0267D" w:rsidRPr="00D86E2C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W_1 Student potrafi wykazać związki pomiędzy skamieniałościami a środowiskiem życia organizmów.</w:t>
            </w: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W_2 Ma rozwiniętą świadomość złożoności wzajemnych zależności pomiędzy organizmami.</w:t>
            </w: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W_3</w:t>
            </w:r>
            <w:r w:rsidR="00D86E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>Zna osiągnięcia polskich geologów w zakresie obejmowanym przez przedmiot.</w:t>
            </w: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U_1 Potrafi określić podstawowe cechy środowiska powstawania osadów w oparciu o znalezione szczątki organizmów.</w:t>
            </w: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U_2 Rozróżnia zespoły auto- i allochtoniczne, potrafi ocenić ich jakość dla rekonstrukcji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</w:rPr>
              <w:t>paleośrodowiskowych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</w:rPr>
              <w:t>.</w:t>
            </w: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U_3 Potrafi krytycznie spojrzeć na dostarczane mu informacje. Ma świadomość poszerzania swojej wiedzy w zakresie znajomości zależności świata organicznego i jego zależności od środowiska.</w:t>
            </w: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K_1</w:t>
            </w:r>
            <w:r w:rsidR="001D1EC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8B8">
              <w:rPr>
                <w:rFonts w:ascii="Verdana" w:hAnsi="Verdana"/>
                <w:sz w:val="20"/>
                <w:szCs w:val="20"/>
              </w:rPr>
              <w:t>Potrafi wybrać odpowiednie elementy zespołu skamieniałości, najlepiej charakteryzujące środowisko powstawania osadów.</w:t>
            </w:r>
          </w:p>
        </w:tc>
        <w:tc>
          <w:tcPr>
            <w:tcW w:w="4641" w:type="dxa"/>
            <w:gridSpan w:val="2"/>
          </w:tcPr>
          <w:p w:rsidR="00D86E2C" w:rsidRPr="005728B8" w:rsidRDefault="00B0267D" w:rsidP="00D86E2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D86E2C">
              <w:rPr>
                <w:rFonts w:ascii="Verdana" w:hAnsi="Verdana"/>
                <w:sz w:val="20"/>
                <w:szCs w:val="20"/>
              </w:rPr>
              <w:t>:</w:t>
            </w: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K2_W01, K2_W02</w:t>
            </w: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K2_W03, K2_W04</w:t>
            </w: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K2_U01, K2_U03</w:t>
            </w: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K2_U02, K2_U05</w:t>
            </w: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K2_U03, K2_U06</w:t>
            </w: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Default="00B0267D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86E2C" w:rsidRPr="005728B8" w:rsidRDefault="00D86E2C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D1EC6" w:rsidRDefault="001D1EC6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D1EC6" w:rsidRDefault="001D1EC6" w:rsidP="00D86E2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  <w:p w:rsidR="00B0267D" w:rsidRPr="005728B8" w:rsidRDefault="00B0267D" w:rsidP="00D86E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267D" w:rsidRPr="005728B8" w:rsidTr="00FD56D2">
        <w:trPr>
          <w:trHeight w:val="24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B0267D" w:rsidRPr="004165AA" w:rsidRDefault="00B0267D" w:rsidP="00945B51">
            <w:pPr>
              <w:ind w:left="-3" w:right="912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4165AA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>Allmon</w:t>
            </w:r>
            <w:proofErr w:type="spellEnd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 xml:space="preserve"> W., </w:t>
            </w:r>
            <w:proofErr w:type="spellStart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>Bottjer</w:t>
            </w:r>
            <w:proofErr w:type="spellEnd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 xml:space="preserve"> D.J., 2001 - </w:t>
            </w:r>
            <w:hyperlink r:id="rId5" w:history="1">
              <w:r w:rsidRPr="005728B8">
                <w:rPr>
                  <w:rStyle w:val="lrg"/>
                  <w:rFonts w:ascii="Verdana" w:hAnsi="Verdana"/>
                  <w:sz w:val="20"/>
                  <w:szCs w:val="20"/>
                  <w:lang w:val="en-US"/>
                </w:rPr>
                <w:t>Evolutionary Paleoecology: The Ecological Context of Macroevolutionary Change</w:t>
              </w:r>
            </w:hyperlink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smartTag w:uri="urn:schemas-microsoft-com:office:smarttags" w:element="PlaceName">
              <w:smartTag w:uri="urn:schemas-microsoft-com:office:smarttags" w:element="place">
                <w:r w:rsidRPr="005728B8">
                  <w:rPr>
                    <w:rStyle w:val="med"/>
                    <w:rFonts w:ascii="Verdana" w:hAnsi="Verdana"/>
                    <w:sz w:val="20"/>
                    <w:szCs w:val="20"/>
                    <w:lang w:val="en-US"/>
                  </w:rPr>
                  <w:t>Columbia</w:t>
                </w:r>
              </w:smartTag>
              <w:r w:rsidRPr="005728B8">
                <w:rPr>
                  <w:rStyle w:val="med"/>
                  <w:rFonts w:ascii="Verdana" w:hAnsi="Verdana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5728B8">
                  <w:rPr>
                    <w:rStyle w:val="med"/>
                    <w:rFonts w:ascii="Verdana" w:hAnsi="Verdana"/>
                    <w:sz w:val="20"/>
                    <w:szCs w:val="20"/>
                    <w:lang w:val="en-US"/>
                  </w:rPr>
                  <w:t>Univ.</w:t>
                </w:r>
              </w:smartTag>
            </w:smartTag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 xml:space="preserve"> Pr., 320p.</w:t>
            </w:r>
          </w:p>
          <w:p w:rsidR="00B0267D" w:rsidRPr="005728B8" w:rsidRDefault="00B0267D" w:rsidP="001D1EC6">
            <w:pPr>
              <w:spacing w:after="0" w:line="240" w:lineRule="auto"/>
              <w:outlineLvl w:val="0"/>
              <w:rPr>
                <w:rFonts w:ascii="Verdana" w:hAnsi="Verdana"/>
                <w:bCs/>
                <w:kern w:val="36"/>
                <w:sz w:val="20"/>
                <w:szCs w:val="20"/>
                <w:lang w:val="en-US" w:eastAsia="pl-PL"/>
              </w:rPr>
            </w:pP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>Brenchley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 xml:space="preserve"> </w:t>
            </w:r>
            <w:r w:rsidRPr="005728B8">
              <w:rPr>
                <w:rFonts w:ascii="Verdana" w:hAnsi="Verdana"/>
                <w:sz w:val="20"/>
                <w:szCs w:val="20"/>
                <w:u w:val="single"/>
                <w:lang w:val="en-US" w:eastAsia="pl-PL"/>
              </w:rPr>
              <w:t>P.J.,</w:t>
            </w:r>
            <w:hyperlink r:id="rId6" w:history="1">
              <w:r w:rsidRPr="005728B8">
                <w:rPr>
                  <w:rFonts w:ascii="Verdana" w:hAnsi="Verdana"/>
                  <w:sz w:val="20"/>
                  <w:szCs w:val="20"/>
                  <w:u w:val="single"/>
                  <w:lang w:val="en-US" w:eastAsia="pl-PL"/>
                </w:rPr>
                <w:t xml:space="preserve"> </w:t>
              </w:r>
              <w:proofErr w:type="spellStart"/>
              <w:r w:rsidRPr="005728B8">
                <w:rPr>
                  <w:rFonts w:ascii="Verdana" w:hAnsi="Verdana"/>
                  <w:sz w:val="20"/>
                  <w:szCs w:val="20"/>
                  <w:u w:val="single"/>
                  <w:lang w:val="en-US" w:eastAsia="pl-PL"/>
                </w:rPr>
                <w:t>Brenchley</w:t>
              </w:r>
              <w:proofErr w:type="spellEnd"/>
            </w:hyperlink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 xml:space="preserve"> P.,</w:t>
            </w:r>
            <w:hyperlink r:id="rId7" w:history="1">
              <w:r w:rsidRPr="005728B8">
                <w:rPr>
                  <w:rFonts w:ascii="Verdana" w:hAnsi="Verdana"/>
                  <w:sz w:val="20"/>
                  <w:szCs w:val="20"/>
                  <w:u w:val="single"/>
                  <w:lang w:val="en-US" w:eastAsia="pl-PL"/>
                </w:rPr>
                <w:t xml:space="preserve"> Harper</w:t>
              </w:r>
            </w:hyperlink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 xml:space="preserve"> D., 2004 - </w:t>
            </w:r>
            <w:proofErr w:type="spellStart"/>
            <w:r w:rsidRPr="005728B8">
              <w:rPr>
                <w:rFonts w:ascii="Verdana" w:hAnsi="Verdana"/>
                <w:bCs/>
                <w:kern w:val="36"/>
                <w:sz w:val="20"/>
                <w:szCs w:val="20"/>
                <w:lang w:val="en-US" w:eastAsia="pl-PL"/>
              </w:rPr>
              <w:t>Palaeoecology</w:t>
            </w:r>
            <w:proofErr w:type="spellEnd"/>
            <w:r w:rsidRPr="005728B8">
              <w:rPr>
                <w:rFonts w:ascii="Verdana" w:hAnsi="Verdana"/>
                <w:bCs/>
                <w:kern w:val="36"/>
                <w:sz w:val="20"/>
                <w:szCs w:val="20"/>
                <w:lang w:val="en-US" w:eastAsia="pl-PL"/>
              </w:rPr>
              <w:t>: Ecosystems, Environments and Evolution. Taylor &amp; Francis, 432p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Briggs D.E.G., P.R. Crowther, 2003 - Paleobiology II. Blackwell Publ., 583p.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Gradstein F.M.,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Ogg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M.D.,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Ogg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G.M., 2012 – The Geologic Time Scale 2012, vol.1-2, Elsevier, 1140p.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Horowitz A.S., Potter P.E., 1971 – Introductory Petrography of Fossils. Springer, 302p.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Scholle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P.A.,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Bebout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D.G., Moore C.H., 1983 - Carbonate Depositional Environments. AAPG Mem 33, 708p.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Venin E.,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Aretz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Boulvein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Munnecke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A. (eds.), 2007 – Facies from Paleozoic reefs and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bioacumulations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. Publ. Sci du Museum, </w:t>
            </w:r>
            <w:smartTag w:uri="urn:schemas-microsoft-com:office:smarttags" w:element="City">
              <w:smartTag w:uri="urn:schemas-microsoft-com:office:smarttags" w:element="place">
                <w:r w:rsidRPr="005728B8">
                  <w:rPr>
                    <w:rFonts w:ascii="Verdana" w:hAnsi="Verdana"/>
                    <w:sz w:val="20"/>
                    <w:szCs w:val="20"/>
                    <w:lang w:val="en-US"/>
                  </w:rPr>
                  <w:t>Paris</w:t>
                </w:r>
              </w:smartTag>
            </w:smartTag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B0267D" w:rsidRPr="005728B8" w:rsidTr="00FD56D2">
        <w:trPr>
          <w:trHeight w:val="121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B0267D" w:rsidRPr="005728B8" w:rsidRDefault="00B0267D" w:rsidP="001D1EC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- zaliczenie ćwiczeń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>K2_W01, K2_U01, K2_U03, K2_U02, K2_U05, K2_U06, K2_K03</w:t>
            </w:r>
          </w:p>
          <w:p w:rsidR="00B0267D" w:rsidRPr="001D1EC6" w:rsidRDefault="00B0267D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- egzamin pisemny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>K2_W01, K2_W02, K2_W03, K2_W04, K2_W08</w:t>
            </w:r>
            <w:r w:rsidR="001D1EC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B0267D" w:rsidRPr="005728B8" w:rsidTr="00FD56D2">
        <w:trPr>
          <w:trHeight w:val="9"/>
        </w:trPr>
        <w:tc>
          <w:tcPr>
            <w:tcW w:w="487" w:type="dxa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B0267D" w:rsidRPr="005728B8" w:rsidRDefault="001D1EC6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B0267D" w:rsidRPr="005728B8">
              <w:rPr>
                <w:rFonts w:ascii="Verdana" w:hAnsi="Verdana"/>
                <w:bCs/>
                <w:sz w:val="20"/>
                <w:szCs w:val="20"/>
              </w:rPr>
              <w:t>Wykłady: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="00B0267D" w:rsidRPr="005728B8">
              <w:rPr>
                <w:rFonts w:ascii="Verdana" w:hAnsi="Verdana"/>
                <w:sz w:val="20"/>
                <w:szCs w:val="20"/>
              </w:rPr>
              <w:t>gzamin pisemny (test otwarty) - po zaliczeniu ćwiczeń. Wynik pozytywny - uzyskanie co najmniej 60% punktów.</w:t>
            </w:r>
          </w:p>
          <w:p w:rsidR="00B0267D" w:rsidRDefault="001D1EC6" w:rsidP="001D1E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B0267D" w:rsidRPr="005728B8">
              <w:rPr>
                <w:rFonts w:ascii="Verdana" w:hAnsi="Verdana"/>
                <w:bCs/>
                <w:sz w:val="20"/>
                <w:szCs w:val="20"/>
              </w:rPr>
              <w:t>Ćwiczenia laboratoryjne: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0267D" w:rsidRPr="005728B8">
              <w:rPr>
                <w:rFonts w:ascii="Verdana" w:hAnsi="Verdana"/>
                <w:sz w:val="20"/>
                <w:szCs w:val="20"/>
              </w:rPr>
              <w:t>3 testy (pytania otwarte i zamknięte) połączone ze sprawdzianami praktycznymi (opis próbek). Wynik pozytywny - uzyskanie łącznie co najmniej 60% punktów.</w:t>
            </w:r>
          </w:p>
          <w:p w:rsidR="00B0267D" w:rsidRPr="00380DA8" w:rsidRDefault="001D1EC6" w:rsidP="001D1EC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możliwa 1 nieobecność</w:t>
            </w:r>
            <w:bookmarkStart w:id="0" w:name="_GoBack"/>
            <w:bookmarkEnd w:id="0"/>
          </w:p>
        </w:tc>
      </w:tr>
      <w:tr w:rsidR="00B0267D" w:rsidRPr="005728B8" w:rsidTr="00FD56D2">
        <w:trPr>
          <w:trHeight w:val="22"/>
        </w:trPr>
        <w:tc>
          <w:tcPr>
            <w:tcW w:w="487" w:type="dxa"/>
            <w:vMerge w:val="restart"/>
          </w:tcPr>
          <w:p w:rsidR="00B0267D" w:rsidRPr="005728B8" w:rsidRDefault="00B0267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0267D" w:rsidRPr="005728B8" w:rsidRDefault="00B02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B0267D" w:rsidRPr="005728B8" w:rsidTr="00FD56D2">
        <w:trPr>
          <w:trHeight w:val="26"/>
        </w:trPr>
        <w:tc>
          <w:tcPr>
            <w:tcW w:w="0" w:type="auto"/>
            <w:vMerge/>
            <w:vAlign w:val="center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0267D" w:rsidRPr="005728B8" w:rsidRDefault="00B0267D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B0267D" w:rsidRPr="005728B8" w:rsidRDefault="00B0267D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B0267D" w:rsidRPr="005728B8" w:rsidTr="00FD56D2">
        <w:trPr>
          <w:trHeight w:val="90"/>
        </w:trPr>
        <w:tc>
          <w:tcPr>
            <w:tcW w:w="0" w:type="auto"/>
            <w:vMerge/>
            <w:vAlign w:val="center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wykład: 14</w:t>
            </w:r>
          </w:p>
          <w:p w:rsidR="00B0267D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ćwiczenia laboratoryjne: 18</w:t>
            </w:r>
          </w:p>
          <w:p w:rsidR="00B0267D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opisywanie próbek pod okiem nauczyciela: 4</w:t>
            </w:r>
          </w:p>
          <w:p w:rsidR="00B0267D" w:rsidRDefault="0073799B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</w:tcPr>
          <w:p w:rsidR="001D1EC6" w:rsidRDefault="001D1EC6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0267D" w:rsidRPr="005728B8" w:rsidRDefault="0073799B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B0267D" w:rsidRPr="005728B8" w:rsidTr="00FD56D2">
        <w:trPr>
          <w:trHeight w:val="104"/>
        </w:trPr>
        <w:tc>
          <w:tcPr>
            <w:tcW w:w="0" w:type="auto"/>
            <w:vMerge/>
            <w:vAlign w:val="center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0267D" w:rsidRPr="005728B8" w:rsidRDefault="00B0267D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praca własna studenta (w tym udział w pracach grupowych):</w:t>
            </w:r>
          </w:p>
          <w:p w:rsidR="00B0267D" w:rsidRPr="005728B8" w:rsidRDefault="0073799B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5</w:t>
            </w:r>
          </w:p>
          <w:p w:rsidR="00B0267D" w:rsidRPr="005728B8" w:rsidRDefault="00B0267D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c</w:t>
            </w:r>
            <w:r w:rsidR="0073799B">
              <w:rPr>
                <w:rFonts w:ascii="Verdana" w:hAnsi="Verdana"/>
                <w:sz w:val="20"/>
                <w:szCs w:val="20"/>
              </w:rPr>
              <w:t>zytanie wskazanej literatury: 5</w:t>
            </w:r>
          </w:p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- przygotowanie do sprawdzianów i </w:t>
            </w:r>
            <w:r w:rsidR="0073799B">
              <w:rPr>
                <w:rFonts w:ascii="Verdana" w:hAnsi="Verdana"/>
                <w:sz w:val="20"/>
                <w:szCs w:val="20"/>
              </w:rPr>
              <w:t>egzaminu: 10</w:t>
            </w:r>
          </w:p>
        </w:tc>
        <w:tc>
          <w:tcPr>
            <w:tcW w:w="4028" w:type="dxa"/>
          </w:tcPr>
          <w:p w:rsidR="00B0267D" w:rsidRPr="005728B8" w:rsidRDefault="0073799B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0267D" w:rsidRPr="005728B8" w:rsidTr="00FD56D2">
        <w:trPr>
          <w:trHeight w:val="21"/>
        </w:trPr>
        <w:tc>
          <w:tcPr>
            <w:tcW w:w="0" w:type="auto"/>
            <w:vMerge/>
            <w:vAlign w:val="center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B0267D" w:rsidRPr="005728B8" w:rsidRDefault="0073799B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B0267D" w:rsidRPr="005728B8" w:rsidTr="00FD56D2">
        <w:trPr>
          <w:trHeight w:val="26"/>
        </w:trPr>
        <w:tc>
          <w:tcPr>
            <w:tcW w:w="0" w:type="auto"/>
            <w:vMerge/>
            <w:vAlign w:val="center"/>
          </w:tcPr>
          <w:p w:rsidR="00B0267D" w:rsidRPr="005728B8" w:rsidRDefault="00B0267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0267D" w:rsidRPr="005728B8" w:rsidRDefault="00B0267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B0267D" w:rsidRPr="005728B8" w:rsidRDefault="0073799B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B0267D" w:rsidRPr="005728B8" w:rsidRDefault="00B0267D">
      <w:pPr>
        <w:rPr>
          <w:rFonts w:ascii="Verdana" w:hAnsi="Verdana"/>
          <w:sz w:val="20"/>
          <w:szCs w:val="20"/>
        </w:rPr>
      </w:pPr>
    </w:p>
    <w:sectPr w:rsidR="00B0267D" w:rsidRPr="005728B8" w:rsidSect="0018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503"/>
    <w:rsid w:val="0000509D"/>
    <w:rsid w:val="000940D4"/>
    <w:rsid w:val="00185DA7"/>
    <w:rsid w:val="001A1CFD"/>
    <w:rsid w:val="001D10C7"/>
    <w:rsid w:val="001D1EC6"/>
    <w:rsid w:val="002129AD"/>
    <w:rsid w:val="0021588C"/>
    <w:rsid w:val="002D3DC3"/>
    <w:rsid w:val="003202F7"/>
    <w:rsid w:val="00380DA8"/>
    <w:rsid w:val="004053B5"/>
    <w:rsid w:val="004165AA"/>
    <w:rsid w:val="004556E6"/>
    <w:rsid w:val="0051737D"/>
    <w:rsid w:val="005728B8"/>
    <w:rsid w:val="005B78DB"/>
    <w:rsid w:val="006556AA"/>
    <w:rsid w:val="00662F58"/>
    <w:rsid w:val="00672722"/>
    <w:rsid w:val="006A06B2"/>
    <w:rsid w:val="006F08F2"/>
    <w:rsid w:val="0073799B"/>
    <w:rsid w:val="007D2D65"/>
    <w:rsid w:val="00816722"/>
    <w:rsid w:val="008614C2"/>
    <w:rsid w:val="00864E2D"/>
    <w:rsid w:val="008E7503"/>
    <w:rsid w:val="00945B51"/>
    <w:rsid w:val="0099524F"/>
    <w:rsid w:val="00A379A6"/>
    <w:rsid w:val="00A66E97"/>
    <w:rsid w:val="00A94B7F"/>
    <w:rsid w:val="00B0267D"/>
    <w:rsid w:val="00B4175D"/>
    <w:rsid w:val="00BB1CBF"/>
    <w:rsid w:val="00C04E3A"/>
    <w:rsid w:val="00C22864"/>
    <w:rsid w:val="00C45F7A"/>
    <w:rsid w:val="00C6323D"/>
    <w:rsid w:val="00C650FA"/>
    <w:rsid w:val="00C8307B"/>
    <w:rsid w:val="00D02A9A"/>
    <w:rsid w:val="00D64DC7"/>
    <w:rsid w:val="00D86E2C"/>
    <w:rsid w:val="00D91C5F"/>
    <w:rsid w:val="00F420C0"/>
    <w:rsid w:val="00FD4C9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ED2098A"/>
  <w15:docId w15:val="{59A1DA5A-30CC-492D-B081-FD66DCCD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uiPriority w:val="99"/>
    <w:rsid w:val="00945B51"/>
  </w:style>
  <w:style w:type="character" w:customStyle="1" w:styleId="hps">
    <w:name w:val="hps"/>
    <w:uiPriority w:val="99"/>
    <w:rsid w:val="00945B51"/>
  </w:style>
  <w:style w:type="character" w:customStyle="1" w:styleId="lrg">
    <w:name w:val="lrg"/>
    <w:uiPriority w:val="99"/>
    <w:rsid w:val="00945B51"/>
  </w:style>
  <w:style w:type="character" w:customStyle="1" w:styleId="med">
    <w:name w:val="med"/>
    <w:uiPriority w:val="99"/>
    <w:rsid w:val="0094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ntt_athr_dp_sr_3?_encoding=UTF8&amp;field-author=D%20Harper&amp;search-alias=books&amp;sort=relevance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ntt_athr_dp_sr_2?_encoding=UTF8&amp;field-author=P%20Brenchley&amp;search-alias=books&amp;sort=relevancerank" TargetMode="External"/><Relationship Id="rId5" Type="http://schemas.openxmlformats.org/officeDocument/2006/relationships/hyperlink" Target="http://www.amazon.de/Evolutionary-Paleoecology-Ecological-Context-Macroevolutionary/dp/0231109954/ref=sr_1_3?ie=UTF8&amp;qid=1367171036&amp;sr=8-3&amp;keywords=paleoecolo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Joanna Prochorowicz</dc:creator>
  <cp:keywords/>
  <dc:description/>
  <cp:lastModifiedBy>Nina Bób</cp:lastModifiedBy>
  <cp:revision>6</cp:revision>
  <dcterms:created xsi:type="dcterms:W3CDTF">2019-04-19T20:41:00Z</dcterms:created>
  <dcterms:modified xsi:type="dcterms:W3CDTF">2022-10-10T08:48:00Z</dcterms:modified>
</cp:coreProperties>
</file>